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FF0000"/>
          <w:spacing w:val="-20"/>
          <w:sz w:val="32"/>
          <w:szCs w:val="32"/>
          <w:u w:val="wave"/>
          <w14:glow w14:rad="0">
            <w14:srgbClr w14:val="000000"/>
          </w14:glow>
          <w14:shadow w14:blurRad="50800" w14:dist="38100" w14:dir="13500000" w14:sx="100000" w14:sy="100000" w14:kx="0" w14:ky="0" w14:algn="br">
            <w14:srgbClr w14:val="000000">
              <w14:alpha w14:val="60000"/>
            </w14:srgbClr>
          </w14:shadow>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14:props3d w14:extrusionH="0" w14:contourW="0" w14:prstMaterial="clear"/>
        </w:rPr>
      </w:pPr>
      <w:r>
        <w:rPr>
          <w:rFonts w:hint="eastAsia" w:ascii="黑体" w:hAnsi="黑体" w:eastAsia="黑体" w:cs="黑体"/>
          <w:color w:val="FF0000"/>
          <w:spacing w:val="-20"/>
          <w:sz w:val="32"/>
          <w:szCs w:val="32"/>
          <w:u w:val="wave"/>
          <w14:glow w14:rad="0">
            <w14:srgbClr w14:val="000000"/>
          </w14:glow>
          <w14:shadow w14:blurRad="50800" w14:dist="38100" w14:dir="13500000" w14:sx="100000" w14:sy="100000" w14:kx="0" w14:ky="0" w14:algn="br">
            <w14:srgbClr w14:val="000000">
              <w14:alpha w14:val="60000"/>
            </w14:srgbClr>
          </w14:shadow>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14:props3d w14:extrusionH="0" w14:contourW="0" w14:prstMaterial="clear"/>
        </w:rPr>
        <w:t>北京市高考报名人数连续11年下降后首次回升</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sectPr>
          <w:pgSz w:w="11907" w:h="16840"/>
          <w:pgMar w:top="1440" w:right="1797" w:bottom="1440" w:left="1797" w:header="720" w:footer="720" w:gutter="0"/>
          <w:cols w:space="720" w:num="1"/>
          <w:docGrid w:linePitch="272" w:charSpace="0"/>
        </w:sectPr>
      </w:pPr>
    </w:p>
    <w:p>
      <w:pPr>
        <w:keepNext/>
        <w:keepLines w:val="0"/>
        <w:pageBreakBefore w:val="0"/>
        <w:framePr w:dropCap="drop" w:lines="2" w:wrap="around" w:vAnchor="text" w:hAnchor="text"/>
        <w:widowControl/>
        <w:kinsoku/>
        <w:wordWrap/>
        <w:overflowPunct/>
        <w:topLinePunct w:val="0"/>
        <w:autoSpaceDE/>
        <w:autoSpaceDN/>
        <w:bidi w:val="0"/>
        <w:adjustRightInd/>
        <w:snapToGrid/>
        <w:spacing w:after="0" w:afterLines="0" w:line="643" w:lineRule="exact"/>
        <w:ind w:left="0" w:leftChars="0" w:firstLine="0" w:firstLineChars="0"/>
        <w:jc w:val="both"/>
        <w:textAlignment w:val="baseline"/>
        <w:rPr>
          <w:rFonts w:hint="eastAsia" w:ascii="黑体" w:hAnsi="黑体" w:eastAsia="黑体" w:cs="黑体"/>
          <w:position w:val="-10"/>
          <w:sz w:val="77"/>
          <w:szCs w:val="77"/>
        </w:rPr>
      </w:pPr>
      <w:r>
        <w:rPr>
          <w:rFonts w:hint="eastAsia" w:ascii="黑体" w:hAnsi="黑体" w:eastAsia="黑体" w:cs="黑体"/>
          <w:position w:val="-10"/>
          <w:sz w:val="77"/>
          <w:szCs w:val="77"/>
        </w:rPr>
        <w:t>2</w:t>
      </w:r>
    </w:p>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018年4月4日，北京市招生考试委员会2018年第一次会议召开。会议强调，要以全面深化改革为根本动力，以安全稳定为第一位政治责任，以提高人才选拔质量和促进考试招生公平为核心任务，全面推进依法治考，深入实施“阳光工程”，确保高考高招工作安全有序、公平公正。</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北京2018年高考报名总数为63073人。从考生类别看，应届生58162人，往届生4911人；男生30567人，女生32506人；城镇考生46919人，农村考生16154人。</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北京继续实施进城务工人员随迁子女在京参加高职招生考试政策，共有486名考生提出申请。经过市教委、市公安局、市人力社保局和各区街道、乡镇政府等相关职能部门的共同审核，符合条件并参加高考报名309人。</w:t>
      </w:r>
    </w:p>
    <w:p>
      <w:pPr>
        <w:keepNext w:val="0"/>
        <w:keepLines w:val="0"/>
        <w:pageBreakBefore w:val="0"/>
        <w:widowControl/>
        <w:kinsoku/>
        <w:wordWrap/>
        <w:overflowPunct/>
        <w:topLinePunct w:val="0"/>
        <w:autoSpaceDE/>
        <w:autoSpaceDN/>
        <w:bidi w:val="0"/>
        <w:adjustRightInd/>
        <w:snapToGrid/>
        <w:spacing w:line="300" w:lineRule="auto"/>
        <w:ind w:firstLine="402" w:firstLineChars="200"/>
        <w:jc w:val="both"/>
        <w:textAlignment w:val="auto"/>
        <w:rPr>
          <w:rFonts w:hint="eastAsia" w:ascii="Times New Roman" w:hAnsi="Times New Roman" w:eastAsiaTheme="minorEastAsia" w:cstheme="minorEastAsia"/>
          <w:b/>
        </w:rPr>
        <w:sectPr>
          <w:type w:val="continuous"/>
          <w:pgSz w:w="11907" w:h="16840"/>
          <w:pgMar w:top="1440" w:right="1797" w:bottom="1440" w:left="1797" w:header="720" w:footer="720" w:gutter="0"/>
          <w:cols w:space="427" w:num="2" w:sep="1"/>
          <w:docGrid w:linePitch="272" w:charSpace="0"/>
        </w:sectPr>
      </w:pPr>
    </w:p>
    <w:p>
      <w:pPr>
        <w:keepNext w:val="0"/>
        <w:keepLines w:val="0"/>
        <w:pageBreakBefore w:val="0"/>
        <w:widowControl/>
        <w:kinsoku/>
        <w:wordWrap/>
        <w:overflowPunct/>
        <w:topLinePunct w:val="0"/>
        <w:autoSpaceDE/>
        <w:autoSpaceDN/>
        <w:bidi w:val="0"/>
        <w:adjustRightInd/>
        <w:snapToGrid/>
        <w:spacing w:line="300" w:lineRule="auto"/>
        <w:ind w:firstLine="402" w:firstLineChars="200"/>
        <w:jc w:val="both"/>
        <w:textAlignment w:val="auto"/>
        <w:rPr>
          <w:rFonts w:hint="eastAsia" w:ascii="Times New Roman" w:hAnsi="Times New Roman" w:eastAsiaTheme="minorEastAsia" w:cstheme="minorEastAsia"/>
          <w:b/>
        </w:rPr>
      </w:pP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b/>
        </w:rPr>
      </w:pPr>
      <w:r>
        <w:rPr>
          <w:rFonts w:hint="eastAsia" w:ascii="Times New Roman" w:hAnsi="Times New Roman" w:eastAsiaTheme="minorEastAsia" w:cstheme="minorEastAsia"/>
          <w:b/>
        </w:rPr>
        <w:t>五类考生不再加分</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根据教育部文件精神，从今年起，5类考生不再高考加分。取消的高考加分项目包括：</w:t>
      </w:r>
    </w:p>
    <w:p>
      <w:pPr>
        <w:keepNext w:val="0"/>
        <w:keepLines w:val="0"/>
        <w:pageBreakBefore w:val="0"/>
        <w:widowControl/>
        <w:numPr>
          <w:ilvl w:val="0"/>
          <w:numId w:val="2"/>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省级优秀学生；</w:t>
      </w:r>
    </w:p>
    <w:p>
      <w:pPr>
        <w:keepNext w:val="0"/>
        <w:keepLines w:val="0"/>
        <w:pageBreakBefore w:val="0"/>
        <w:widowControl/>
        <w:numPr>
          <w:ilvl w:val="0"/>
          <w:numId w:val="2"/>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获国家二级运动员以上称号的考生；</w:t>
      </w:r>
    </w:p>
    <w:p>
      <w:pPr>
        <w:keepNext w:val="0"/>
        <w:keepLines w:val="0"/>
        <w:pageBreakBefore w:val="0"/>
        <w:widowControl/>
        <w:numPr>
          <w:ilvl w:val="0"/>
          <w:numId w:val="2"/>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重大国际体育比赛集体或个人项目取得前6名，全国性体育比赛个人项目取得前6名的考生；</w:t>
      </w:r>
    </w:p>
    <w:p>
      <w:pPr>
        <w:keepNext w:val="0"/>
        <w:keepLines w:val="0"/>
        <w:pageBreakBefore w:val="0"/>
        <w:widowControl/>
        <w:numPr>
          <w:ilvl w:val="0"/>
          <w:numId w:val="2"/>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思想政治品德方面有突出事迹者；</w:t>
      </w:r>
    </w:p>
    <w:p>
      <w:pPr>
        <w:keepNext w:val="0"/>
        <w:keepLines w:val="0"/>
        <w:pageBreakBefore w:val="0"/>
        <w:widowControl/>
        <w:numPr>
          <w:ilvl w:val="0"/>
          <w:numId w:val="2"/>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全国中学生学科奥林匹克竞赛全国决赛一、二、三等奖者；全国青少年科技创新大赛(含全国青少年生物和环境科学实践活动)或“明天小小科学家”奖励活动或全国中小学电脑制作活动一、二等奖者；在国际科学与工程大奖赛或国际环境科研项目奥林匹克竞赛中获奖者。</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b/>
        </w:rPr>
      </w:pPr>
      <w:r>
        <w:rPr>
          <w:rFonts w:hint="eastAsia" w:ascii="Times New Roman" w:hAnsi="Times New Roman" w:eastAsiaTheme="minorEastAsia" w:cstheme="minorEastAsia"/>
          <w:b/>
        </w:rPr>
        <w:t>增加的高考照顾政策</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从今年开始，公安英模子女报考高校，在与其他考生同等条件下优先录取。</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left="0" w:leftChars="0" w:firstLine="420" w:firstLineChars="0"/>
        <w:jc w:val="both"/>
        <w:textAlignment w:val="auto"/>
        <w:rPr>
          <w:rFonts w:hint="eastAsia" w:ascii="Times New Roman" w:hAnsi="Times New Roman" w:eastAsiaTheme="minorEastAsia" w:cstheme="minorEastAsia"/>
          <w:b/>
        </w:rPr>
      </w:pPr>
      <w:r>
        <w:rPr>
          <w:rFonts w:hint="eastAsia" w:ascii="Times New Roman" w:hAnsi="Times New Roman" w:eastAsiaTheme="minorEastAsia" w:cstheme="minorEastAsia"/>
          <w:b/>
        </w:rPr>
        <w:t>外语听力一年两考</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北京高考外语听力从今年开始实行一年两考。</w:t>
      </w:r>
      <w:bookmarkStart w:id="0" w:name="_GoBack"/>
      <w:bookmarkEnd w:id="0"/>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英语科目第一次听力考试于2017年12月16日进行，第二次听力考试于3月17日进行，采用计算机考试模式;其他外语科目第一次听力考试于1月8日进行，第二次考试于6月8日进行。</w:t>
      </w:r>
    </w:p>
    <w:p>
      <w:pPr>
        <w:keepNext w:val="0"/>
        <w:keepLines w:val="0"/>
        <w:pageBreakBefore w:val="0"/>
        <w:widowControl/>
        <w:kinsoku/>
        <w:wordWrap/>
        <w:overflowPunct/>
        <w:topLinePunct w:val="0"/>
        <w:autoSpaceDE/>
        <w:autoSpaceDN/>
        <w:bidi w:val="0"/>
        <w:adjustRightInd/>
        <w:snapToGrid/>
        <w:spacing w:line="300" w:lineRule="auto"/>
        <w:ind w:firstLine="400" w:firstLineChars="200"/>
        <w:jc w:val="both"/>
        <w:textAlignment w:val="auto"/>
        <w:rPr>
          <w:rFonts w:hint="eastAsia" w:ascii="Times New Roman" w:hAnsi="Times New Roman" w:eastAsiaTheme="minorEastAsia" w:cstheme="minorEastAsia"/>
        </w:rPr>
      </w:pPr>
      <w:r>
        <w:rPr>
          <w:rFonts w:hint="eastAsia" w:ascii="Times New Roman" w:hAnsi="Times New Roman" w:eastAsiaTheme="minorEastAsia" w:cstheme="minorEastAsia"/>
        </w:rPr>
        <w:t>外语听力考试满分30分，取两次听力考试的最高成绩与其他部分试题成绩一同组成外语科目成绩计入高考总分。</w:t>
      </w:r>
    </w:p>
    <w:p>
      <w:pPr>
        <w:keepNext w:val="0"/>
        <w:keepLines w:val="0"/>
        <w:pageBreakBefore w:val="0"/>
        <w:widowControl/>
        <w:kinsoku/>
        <w:wordWrap/>
        <w:overflowPunct/>
        <w:topLinePunct w:val="0"/>
        <w:autoSpaceDE/>
        <w:autoSpaceDN/>
        <w:bidi w:val="0"/>
        <w:adjustRightInd/>
        <w:snapToGrid/>
        <w:spacing w:before="240" w:beforeLines="100" w:after="120" w:afterLines="50" w:line="30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2006-2017年北京市高考报名人数</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47"/>
        <w:gridCol w:w="1247"/>
        <w:gridCol w:w="1247"/>
        <w:gridCol w:w="1247"/>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tblHeader/>
          <w:jc w:val="center"/>
        </w:trPr>
        <w:tc>
          <w:tcPr>
            <w:tcW w:w="1247" w:type="dxa"/>
            <w:tcBorders>
              <w:top w:val="single" w:color="4BACC6" w:sz="8" w:space="0"/>
              <w:left w:val="single" w:color="4BACC6" w:sz="8" w:space="0"/>
              <w:bottom w:val="single" w:color="4BACC6" w:sz="8" w:space="0"/>
              <w:right w:val="dotted" w:color="auto" w:sz="4" w:space="0"/>
            </w:tcBorders>
            <w:shd w:val="clear" w:color="auto" w:fill="4BACC6"/>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b/>
                <w:bCs/>
                <w:color w:val="FFFFFF"/>
              </w:rPr>
            </w:pPr>
            <w:r>
              <w:rPr>
                <w:rFonts w:hint="eastAsia" w:ascii="Times New Roman" w:hAnsi="Times New Roman" w:eastAsiaTheme="minorEastAsia" w:cstheme="minorEastAsia"/>
                <w:b/>
                <w:bCs/>
                <w:color w:val="FFFFFF"/>
                <w:sz w:val="21"/>
                <w:szCs w:val="21"/>
              </w:rPr>
              <w:t>年份</w:t>
            </w:r>
          </w:p>
        </w:tc>
        <w:tc>
          <w:tcPr>
            <w:tcW w:w="1247" w:type="dxa"/>
            <w:tcBorders>
              <w:top w:val="single" w:color="4BACC6" w:sz="8" w:space="0"/>
              <w:left w:val="dotted" w:color="auto" w:sz="4" w:space="0"/>
              <w:bottom w:val="single" w:color="4BACC6" w:sz="8" w:space="0"/>
              <w:right w:val="dotted" w:color="auto" w:sz="4" w:space="0"/>
            </w:tcBorders>
            <w:shd w:val="clear" w:color="auto" w:fill="4BACC6"/>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b/>
                <w:bCs/>
                <w:color w:val="FFFFFF"/>
              </w:rPr>
            </w:pPr>
            <w:r>
              <w:rPr>
                <w:rFonts w:hint="eastAsia" w:ascii="Times New Roman" w:hAnsi="Times New Roman" w:eastAsiaTheme="minorEastAsia" w:cstheme="minorEastAsia"/>
                <w:b/>
                <w:bCs/>
                <w:color w:val="FFFFFF"/>
                <w:sz w:val="21"/>
                <w:szCs w:val="21"/>
              </w:rPr>
              <w:t>普通文科</w:t>
            </w:r>
          </w:p>
        </w:tc>
        <w:tc>
          <w:tcPr>
            <w:tcW w:w="1247" w:type="dxa"/>
            <w:tcBorders>
              <w:top w:val="single" w:color="4BACC6" w:sz="8" w:space="0"/>
              <w:left w:val="dotted" w:color="auto" w:sz="4" w:space="0"/>
              <w:bottom w:val="single" w:color="4BACC6" w:sz="8" w:space="0"/>
              <w:right w:val="dotted" w:color="auto" w:sz="4" w:space="0"/>
            </w:tcBorders>
            <w:shd w:val="clear" w:color="auto" w:fill="4BACC6"/>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b/>
                <w:bCs/>
                <w:color w:val="FFFFFF"/>
              </w:rPr>
            </w:pPr>
            <w:r>
              <w:rPr>
                <w:rFonts w:hint="eastAsia" w:ascii="Times New Roman" w:hAnsi="Times New Roman" w:eastAsiaTheme="minorEastAsia" w:cstheme="minorEastAsia"/>
                <w:b/>
                <w:bCs/>
                <w:color w:val="FFFFFF"/>
                <w:sz w:val="21"/>
                <w:szCs w:val="21"/>
              </w:rPr>
              <w:t>普通理科</w:t>
            </w:r>
          </w:p>
        </w:tc>
        <w:tc>
          <w:tcPr>
            <w:tcW w:w="1247" w:type="dxa"/>
            <w:tcBorders>
              <w:top w:val="single" w:color="4BACC6" w:sz="8" w:space="0"/>
              <w:left w:val="dotted" w:color="auto" w:sz="4" w:space="0"/>
              <w:bottom w:val="single" w:color="4BACC6" w:sz="8" w:space="0"/>
              <w:right w:val="dotted" w:color="auto" w:sz="4" w:space="0"/>
            </w:tcBorders>
            <w:shd w:val="clear" w:color="auto" w:fill="4BACC6"/>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b/>
                <w:bCs/>
                <w:color w:val="FFFFFF"/>
              </w:rPr>
            </w:pPr>
            <w:r>
              <w:rPr>
                <w:rFonts w:hint="eastAsia" w:ascii="Times New Roman" w:hAnsi="Times New Roman" w:eastAsiaTheme="minorEastAsia" w:cstheme="minorEastAsia"/>
                <w:b/>
                <w:bCs/>
                <w:color w:val="FFFFFF"/>
                <w:sz w:val="21"/>
                <w:szCs w:val="21"/>
              </w:rPr>
              <w:t>其他</w:t>
            </w:r>
          </w:p>
        </w:tc>
        <w:tc>
          <w:tcPr>
            <w:tcW w:w="1247" w:type="dxa"/>
            <w:tcBorders>
              <w:top w:val="single" w:color="4BACC6" w:sz="8" w:space="0"/>
              <w:left w:val="dotted" w:color="auto" w:sz="4" w:space="0"/>
              <w:bottom w:val="single" w:color="4BACC6" w:sz="8" w:space="0"/>
              <w:right w:val="single" w:color="4BACC6" w:sz="8" w:space="0"/>
            </w:tcBorders>
            <w:shd w:val="clear" w:color="auto" w:fill="4BACC6"/>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b/>
                <w:bCs/>
                <w:color w:val="FFFFFF"/>
                <w:sz w:val="21"/>
                <w:szCs w:val="21"/>
                <w:lang w:val="en-US" w:eastAsia="zh-CN"/>
              </w:rPr>
            </w:pPr>
            <w:r>
              <w:rPr>
                <w:rFonts w:hint="eastAsia" w:eastAsiaTheme="minorEastAsia" w:cstheme="minorEastAsia"/>
                <w:b/>
                <w:bCs/>
                <w:color w:val="FFFFFF"/>
                <w:sz w:val="21"/>
                <w:szCs w:val="21"/>
                <w:lang w:val="en-US" w:eastAsia="zh-CN"/>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2006年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37433</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72826</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15768</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default" w:ascii="Times New Roman" w:hAnsi="Times New Roman" w:eastAsiaTheme="minorEastAsia" w:cstheme="minorEastAsia"/>
                <w:color w:val="000000"/>
                <w:sz w:val="21"/>
                <w:szCs w:val="21"/>
              </w:rPr>
            </w:pPr>
            <w:r>
              <w:rPr>
                <w:rFonts w:hint="default" w:ascii="Times New Roman" w:hAnsi="Times New Roman" w:eastAsiaTheme="minorEastAsia" w:cstheme="minorEastAsia"/>
                <w:color w:val="000000"/>
                <w:sz w:val="21"/>
                <w:szCs w:val="21"/>
              </w:rPr>
              <w:fldChar w:fldCharType="begin"/>
            </w:r>
            <w:r>
              <w:rPr>
                <w:rFonts w:hint="default" w:ascii="Times New Roman" w:hAnsi="Times New Roman" w:eastAsiaTheme="minorEastAsia" w:cstheme="minorEastAsia"/>
                <w:color w:val="000000"/>
                <w:sz w:val="21"/>
                <w:szCs w:val="21"/>
              </w:rPr>
              <w:instrText xml:space="preserve"> = sum(B2:D2) \* MERGEFORMAT </w:instrText>
            </w:r>
            <w:r>
              <w:rPr>
                <w:rFonts w:hint="default" w:ascii="Times New Roman" w:hAnsi="Times New Roman" w:eastAsiaTheme="minorEastAsia" w:cstheme="minorEastAsia"/>
                <w:color w:val="000000"/>
                <w:sz w:val="21"/>
                <w:szCs w:val="21"/>
              </w:rPr>
              <w:fldChar w:fldCharType="separate"/>
            </w:r>
            <w:r>
              <w:rPr>
                <w:rFonts w:hint="default" w:ascii="Times New Roman" w:hAnsi="Times New Roman" w:eastAsiaTheme="minorEastAsia" w:cstheme="minorEastAsia"/>
                <w:color w:val="000000"/>
                <w:sz w:val="21"/>
                <w:szCs w:val="21"/>
              </w:rPr>
              <w:t>126027</w:t>
            </w:r>
            <w:r>
              <w:rPr>
                <w:rFonts w:hint="default"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2007年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35837</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74039</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15559</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sum(B3:D3)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125435</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2008年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33642</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70147</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14317</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sum(B4:D4)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118106</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2009年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29140</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59052</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12143</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sum(B5:D5)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100335</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2010年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25643</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48365</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6233</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sum(B6:D6)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80241</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2011年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25418</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45439</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5150</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sum(B7:D7)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76007</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2012年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22855</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45494</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5111</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sum(B8:D8)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73460</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2013年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20913</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46455</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5368</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sum(B9:D9)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72736</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2014年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19389</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45095</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6033</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sum(B10:D10)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70517</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2015年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19617</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41819</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6380</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sum(B11:D11)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67816</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2016年</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18425</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37255</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5542</w:t>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sum(B12:D12)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61222</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2017年</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17641</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36595</w:t>
            </w:r>
          </w:p>
        </w:tc>
        <w:tc>
          <w:tcPr>
            <w:tcW w:w="1247" w:type="dxa"/>
            <w:tcBorders>
              <w:top w:val="single" w:color="4BACC6" w:sz="8" w:space="0"/>
              <w:left w:val="dotted" w:color="auto" w:sz="4" w:space="0"/>
              <w:bottom w:val="single" w:color="4BACC6" w:sz="8" w:space="0"/>
              <w:right w:val="dotted"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color w:val="000000"/>
              </w:rPr>
            </w:pPr>
            <w:r>
              <w:rPr>
                <w:rFonts w:hint="eastAsia" w:ascii="Times New Roman" w:hAnsi="Times New Roman" w:eastAsiaTheme="minorEastAsia" w:cstheme="minorEastAsia"/>
                <w:color w:val="000000"/>
                <w:sz w:val="21"/>
                <w:szCs w:val="21"/>
              </w:rPr>
              <w:t>6402</w:t>
            </w:r>
          </w:p>
        </w:tc>
        <w:tc>
          <w:tcPr>
            <w:tcW w:w="1247" w:type="dxa"/>
            <w:tcBorders>
              <w:top w:val="single" w:color="4BACC6" w:sz="8" w:space="0"/>
              <w:left w:val="dotted" w:color="auto" w:sz="4" w:space="0"/>
              <w:bottom w:val="single" w:color="4BACC6" w:sz="8" w:space="0"/>
              <w:right w:val="single" w:color="4BACC6"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sum(B13:D13)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60638</w:t>
            </w:r>
            <w:r>
              <w:rPr>
                <w:rFonts w:hint="eastAsia" w:ascii="Times New Roman" w:hAnsi="Times New Roman"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jc w:val="center"/>
        </w:trPr>
        <w:tc>
          <w:tcPr>
            <w:tcW w:w="1247" w:type="dxa"/>
            <w:tcBorders>
              <w:top w:val="single" w:color="4BACC6" w:sz="8" w:space="0"/>
              <w:left w:val="single" w:color="4BACC6" w:sz="8"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lang w:val="en-US" w:eastAsia="zh-CN"/>
              </w:rPr>
            </w:pPr>
            <w:r>
              <w:rPr>
                <w:rFonts w:hint="eastAsia" w:eastAsiaTheme="minorEastAsia" w:cstheme="minorEastAsia"/>
                <w:color w:val="000000"/>
                <w:sz w:val="21"/>
                <w:szCs w:val="21"/>
                <w:lang w:val="en-US" w:eastAsia="zh-CN"/>
              </w:rPr>
              <w:t>合计</w:t>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default" w:ascii="Times New Roman" w:hAnsi="Times New Roman" w:eastAsiaTheme="minorEastAsia" w:cstheme="minorEastAsia"/>
                <w:color w:val="000000"/>
                <w:sz w:val="21"/>
                <w:szCs w:val="21"/>
              </w:rPr>
            </w:pPr>
            <w:r>
              <w:rPr>
                <w:rFonts w:hint="default" w:ascii="Times New Roman" w:hAnsi="Times New Roman" w:eastAsiaTheme="minorEastAsia" w:cstheme="minorEastAsia"/>
                <w:color w:val="000000"/>
                <w:sz w:val="21"/>
                <w:szCs w:val="21"/>
              </w:rPr>
              <w:fldChar w:fldCharType="begin"/>
            </w:r>
            <w:r>
              <w:rPr>
                <w:rFonts w:hint="default" w:ascii="Times New Roman" w:hAnsi="Times New Roman" w:eastAsiaTheme="minorEastAsia" w:cstheme="minorEastAsia"/>
                <w:color w:val="000000"/>
                <w:sz w:val="21"/>
                <w:szCs w:val="21"/>
              </w:rPr>
              <w:instrText xml:space="preserve"> = sum(B2:B13) \* MERGEFORMAT </w:instrText>
            </w:r>
            <w:r>
              <w:rPr>
                <w:rFonts w:hint="default" w:ascii="Times New Roman" w:hAnsi="Times New Roman" w:eastAsiaTheme="minorEastAsia" w:cstheme="minorEastAsia"/>
                <w:color w:val="000000"/>
                <w:sz w:val="21"/>
                <w:szCs w:val="21"/>
              </w:rPr>
              <w:fldChar w:fldCharType="separate"/>
            </w:r>
            <w:r>
              <w:rPr>
                <w:rFonts w:hint="default" w:ascii="Times New Roman" w:hAnsi="Times New Roman" w:eastAsiaTheme="minorEastAsia" w:cstheme="minorEastAsia"/>
                <w:color w:val="000000"/>
                <w:sz w:val="21"/>
                <w:szCs w:val="21"/>
              </w:rPr>
              <w:t>305953</w:t>
            </w:r>
            <w:r>
              <w:rPr>
                <w:rFonts w:hint="default" w:ascii="Times New Roman" w:hAnsi="Times New Roman" w:eastAsiaTheme="minorEastAsia" w:cstheme="minorEastAsia"/>
                <w:color w:val="000000"/>
                <w:sz w:val="21"/>
                <w:szCs w:val="21"/>
              </w:rPr>
              <w:fldChar w:fldCharType="end"/>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sum(C2:C13)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622581</w:t>
            </w:r>
            <w:r>
              <w:rPr>
                <w:rFonts w:hint="eastAsia" w:ascii="Times New Roman" w:hAnsi="Times New Roman" w:eastAsiaTheme="minorEastAsia" w:cstheme="minorEastAsia"/>
                <w:color w:val="000000"/>
                <w:sz w:val="21"/>
                <w:szCs w:val="21"/>
              </w:rPr>
              <w:fldChar w:fldCharType="end"/>
            </w:r>
          </w:p>
        </w:tc>
        <w:tc>
          <w:tcPr>
            <w:tcW w:w="1247" w:type="dxa"/>
            <w:tcBorders>
              <w:top w:val="single" w:color="4BACC6" w:sz="8" w:space="0"/>
              <w:left w:val="dotted" w:color="auto" w:sz="4" w:space="0"/>
              <w:bottom w:val="single" w:color="4BACC6" w:sz="8" w:space="0"/>
              <w:right w:val="dotted" w:color="auto" w:sz="4"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sum(D2:D13)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104006</w:t>
            </w:r>
            <w:r>
              <w:rPr>
                <w:rFonts w:hint="eastAsia" w:ascii="Times New Roman" w:hAnsi="Times New Roman" w:eastAsiaTheme="minorEastAsia" w:cstheme="minorEastAsia"/>
                <w:color w:val="000000"/>
                <w:sz w:val="21"/>
                <w:szCs w:val="21"/>
              </w:rPr>
              <w:fldChar w:fldCharType="end"/>
            </w:r>
          </w:p>
        </w:tc>
        <w:tc>
          <w:tcPr>
            <w:tcW w:w="1247" w:type="dxa"/>
            <w:tcBorders>
              <w:top w:val="single" w:color="4BACC6" w:sz="8" w:space="0"/>
              <w:left w:val="dotted" w:color="auto" w:sz="4" w:space="0"/>
              <w:bottom w:val="single" w:color="4BACC6" w:sz="8" w:space="0"/>
              <w:right w:val="single" w:color="4BACC6" w:sz="8" w:space="0"/>
            </w:tcBorders>
            <w:shd w:val="clear" w:color="auto" w:fill="E9F1F5"/>
            <w:vAlign w:val="center"/>
          </w:tcPr>
          <w:p>
            <w:pPr>
              <w:keepNext w:val="0"/>
              <w:keepLines w:val="0"/>
              <w:pageBreakBefore w:val="0"/>
              <w:widowControl/>
              <w:kinsoku/>
              <w:wordWrap/>
              <w:overflowPunct/>
              <w:topLinePunct w:val="0"/>
              <w:autoSpaceDE/>
              <w:autoSpaceDN/>
              <w:bidi w:val="0"/>
              <w:adjustRightInd/>
              <w:snapToGrid/>
              <w:spacing w:line="300" w:lineRule="auto"/>
              <w:ind w:left="0" w:leftChars="0" w:firstLine="0" w:firstLineChars="0"/>
              <w:jc w:val="center"/>
              <w:textAlignment w:val="auto"/>
              <w:rPr>
                <w:rFonts w:hint="eastAsia" w:ascii="Times New Roman" w:hAnsi="Times New Roman" w:eastAsiaTheme="minorEastAsia" w:cstheme="minorEastAsia"/>
                <w:color w:val="000000"/>
                <w:sz w:val="21"/>
                <w:szCs w:val="21"/>
              </w:rPr>
            </w:pPr>
            <w:r>
              <w:rPr>
                <w:rFonts w:hint="eastAsia" w:ascii="Times New Roman" w:hAnsi="Times New Roman" w:eastAsiaTheme="minorEastAsia" w:cstheme="minorEastAsia"/>
                <w:color w:val="000000"/>
                <w:sz w:val="21"/>
                <w:szCs w:val="21"/>
              </w:rPr>
              <w:fldChar w:fldCharType="begin"/>
            </w:r>
            <w:r>
              <w:rPr>
                <w:rFonts w:hint="eastAsia" w:ascii="Times New Roman" w:hAnsi="Times New Roman" w:eastAsiaTheme="minorEastAsia" w:cstheme="minorEastAsia"/>
                <w:color w:val="000000"/>
                <w:sz w:val="21"/>
                <w:szCs w:val="21"/>
              </w:rPr>
              <w:instrText xml:space="preserve"> = sum(E2:E13) \* MERGEFORMAT </w:instrText>
            </w:r>
            <w:r>
              <w:rPr>
                <w:rFonts w:hint="eastAsia" w:ascii="Times New Roman" w:hAnsi="Times New Roman" w:eastAsiaTheme="minorEastAsia" w:cstheme="minorEastAsia"/>
                <w:color w:val="000000"/>
                <w:sz w:val="21"/>
                <w:szCs w:val="21"/>
              </w:rPr>
              <w:fldChar w:fldCharType="separate"/>
            </w:r>
            <w:r>
              <w:rPr>
                <w:rFonts w:hint="eastAsia" w:ascii="Times New Roman" w:hAnsi="Times New Roman" w:eastAsiaTheme="minorEastAsia" w:cstheme="minorEastAsia"/>
                <w:color w:val="000000"/>
                <w:sz w:val="21"/>
                <w:szCs w:val="21"/>
              </w:rPr>
              <w:t>1032540</w:t>
            </w:r>
            <w:r>
              <w:rPr>
                <w:rFonts w:hint="eastAsia" w:ascii="Times New Roman" w:hAnsi="Times New Roman" w:eastAsiaTheme="minorEastAsia" w:cstheme="minorEastAsia"/>
                <w:color w:val="000000"/>
                <w:sz w:val="21"/>
                <w:szCs w:val="21"/>
              </w:rPr>
              <w:fldChar w:fldCharType="end"/>
            </w:r>
          </w:p>
        </w:tc>
      </w:tr>
    </w:tbl>
    <w:p>
      <w:pPr>
        <w:keepNext w:val="0"/>
        <w:keepLines w:val="0"/>
        <w:pageBreakBefore w:val="0"/>
        <w:widowControl/>
        <w:tabs>
          <w:tab w:val="left" w:pos="1247"/>
          <w:tab w:val="left" w:pos="2494"/>
          <w:tab w:val="left" w:pos="3741"/>
          <w:tab w:val="left" w:pos="4988"/>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Theme="minorEastAsia" w:cstheme="minorEastAsia"/>
          <w:color w:val="333333"/>
          <w:sz w:val="21"/>
          <w:szCs w:val="21"/>
        </w:rPr>
      </w:pPr>
    </w:p>
    <w:sectPr>
      <w:type w:val="continuous"/>
      <w:pgSz w:w="11907" w:h="16840"/>
      <w:pgMar w:top="1440" w:right="1797" w:bottom="1440" w:left="1797"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EFF" w:usb1="C0007843"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C0910"/>
    <w:multiLevelType w:val="singleLevel"/>
    <w:tmpl w:val="FB7C0910"/>
    <w:lvl w:ilvl="0" w:tentative="0">
      <w:start w:val="1"/>
      <w:numFmt w:val="bullet"/>
      <w:suff w:val="space"/>
      <w:lvlText w:val=""/>
      <w:lvlJc w:val="left"/>
      <w:pPr>
        <w:ind w:left="0" w:leftChars="0" w:firstLine="420" w:firstLineChars="0"/>
      </w:pPr>
      <w:rPr>
        <w:rFonts w:hint="default" w:ascii="Wingdings" w:hAnsi="Wingdings"/>
      </w:rPr>
    </w:lvl>
  </w:abstractNum>
  <w:abstractNum w:abstractNumId="1">
    <w:nsid w:val="1FA29A48"/>
    <w:multiLevelType w:val="singleLevel"/>
    <w:tmpl w:val="1FA29A48"/>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MDlhYjMxMGFjOTk4MjRiYTdjOTU5MWI4NDA5MzUifQ=="/>
  </w:docVars>
  <w:rsids>
    <w:rsidRoot w:val="00B2183F"/>
    <w:rsid w:val="00013EF5"/>
    <w:rsid w:val="0003706D"/>
    <w:rsid w:val="000F33DC"/>
    <w:rsid w:val="0014404F"/>
    <w:rsid w:val="00144E01"/>
    <w:rsid w:val="001A31DC"/>
    <w:rsid w:val="001A7294"/>
    <w:rsid w:val="001B30E1"/>
    <w:rsid w:val="0020632A"/>
    <w:rsid w:val="0020741C"/>
    <w:rsid w:val="00217A64"/>
    <w:rsid w:val="00296030"/>
    <w:rsid w:val="002E6554"/>
    <w:rsid w:val="003C5F4A"/>
    <w:rsid w:val="00413B49"/>
    <w:rsid w:val="004501AB"/>
    <w:rsid w:val="00463784"/>
    <w:rsid w:val="004A520D"/>
    <w:rsid w:val="004C6432"/>
    <w:rsid w:val="004F2060"/>
    <w:rsid w:val="005A1621"/>
    <w:rsid w:val="00630710"/>
    <w:rsid w:val="006657AB"/>
    <w:rsid w:val="00692603"/>
    <w:rsid w:val="006B4922"/>
    <w:rsid w:val="006D0541"/>
    <w:rsid w:val="00770386"/>
    <w:rsid w:val="007750D1"/>
    <w:rsid w:val="007C5F2B"/>
    <w:rsid w:val="007E1F69"/>
    <w:rsid w:val="00804D17"/>
    <w:rsid w:val="00850678"/>
    <w:rsid w:val="00892624"/>
    <w:rsid w:val="008A2685"/>
    <w:rsid w:val="008B091F"/>
    <w:rsid w:val="008B26DB"/>
    <w:rsid w:val="008D6C0C"/>
    <w:rsid w:val="00A03960"/>
    <w:rsid w:val="00A71D8F"/>
    <w:rsid w:val="00A86B80"/>
    <w:rsid w:val="00AD3C7D"/>
    <w:rsid w:val="00B2183F"/>
    <w:rsid w:val="00B51A12"/>
    <w:rsid w:val="00B7258D"/>
    <w:rsid w:val="00BD530B"/>
    <w:rsid w:val="00BE21F0"/>
    <w:rsid w:val="00C00D74"/>
    <w:rsid w:val="00C660F6"/>
    <w:rsid w:val="00CA4BCF"/>
    <w:rsid w:val="00CA7A6A"/>
    <w:rsid w:val="00CB6109"/>
    <w:rsid w:val="00CF2A64"/>
    <w:rsid w:val="00D252DD"/>
    <w:rsid w:val="00D75168"/>
    <w:rsid w:val="00DA4880"/>
    <w:rsid w:val="00DC092B"/>
    <w:rsid w:val="00E93CB3"/>
    <w:rsid w:val="00F075A5"/>
    <w:rsid w:val="00F61B2E"/>
    <w:rsid w:val="00F711E9"/>
    <w:rsid w:val="00FB5FCB"/>
    <w:rsid w:val="6C585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link w:val="15"/>
    <w:qFormat/>
    <w:uiPriority w:val="9"/>
    <w:pPr>
      <w:spacing w:before="100" w:beforeAutospacing="1" w:after="100" w:afterAutospacing="1"/>
      <w:outlineLvl w:val="0"/>
    </w:pPr>
    <w:rPr>
      <w:rFonts w:ascii="宋体" w:hAnsi="宋体" w:cs="宋体"/>
      <w:b/>
      <w:bCs/>
      <w:kern w:val="36"/>
      <w:sz w:val="48"/>
      <w:szCs w:val="48"/>
    </w:rPr>
  </w:style>
  <w:style w:type="paragraph" w:styleId="3">
    <w:name w:val="heading 2"/>
    <w:basedOn w:val="1"/>
    <w:next w:val="1"/>
    <w:link w:val="1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17"/>
    <w:qFormat/>
    <w:uiPriority w:val="0"/>
    <w:pPr>
      <w:ind w:left="100" w:leftChars="2500"/>
    </w:pPr>
  </w:style>
  <w:style w:type="paragraph" w:styleId="5">
    <w:name w:val="footer"/>
    <w:basedOn w:val="1"/>
    <w:link w:val="14"/>
    <w:uiPriority w:val="0"/>
    <w:pPr>
      <w:tabs>
        <w:tab w:val="center" w:pos="4153"/>
        <w:tab w:val="right" w:pos="8306"/>
      </w:tabs>
      <w:snapToGrid w:val="0"/>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spacing w:before="100" w:beforeAutospacing="1" w:after="100" w:afterAutospacing="1"/>
    </w:pPr>
    <w:rPr>
      <w:rFonts w:ascii="宋体" w:hAnsi="宋体" w:cs="宋体"/>
      <w:sz w:val="24"/>
      <w:szCs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customStyle="1" w:styleId="13">
    <w:name w:val="页眉 字符"/>
    <w:basedOn w:val="10"/>
    <w:link w:val="6"/>
    <w:uiPriority w:val="0"/>
    <w:rPr>
      <w:sz w:val="18"/>
      <w:szCs w:val="18"/>
    </w:rPr>
  </w:style>
  <w:style w:type="character" w:customStyle="1" w:styleId="14">
    <w:name w:val="页脚 字符"/>
    <w:basedOn w:val="10"/>
    <w:link w:val="5"/>
    <w:uiPriority w:val="0"/>
    <w:rPr>
      <w:sz w:val="18"/>
      <w:szCs w:val="18"/>
    </w:rPr>
  </w:style>
  <w:style w:type="character" w:customStyle="1" w:styleId="15">
    <w:name w:val="标题 1 字符"/>
    <w:basedOn w:val="10"/>
    <w:link w:val="2"/>
    <w:qFormat/>
    <w:uiPriority w:val="9"/>
    <w:rPr>
      <w:rFonts w:ascii="宋体" w:hAnsi="宋体" w:cs="宋体"/>
      <w:b/>
      <w:bCs/>
      <w:kern w:val="36"/>
      <w:sz w:val="48"/>
      <w:szCs w:val="48"/>
    </w:rPr>
  </w:style>
  <w:style w:type="character" w:customStyle="1" w:styleId="16">
    <w:name w:val="apple-converted-space"/>
    <w:basedOn w:val="10"/>
    <w:qFormat/>
    <w:uiPriority w:val="0"/>
  </w:style>
  <w:style w:type="character" w:customStyle="1" w:styleId="17">
    <w:name w:val="日期 字符"/>
    <w:basedOn w:val="10"/>
    <w:link w:val="4"/>
    <w:qFormat/>
    <w:uiPriority w:val="0"/>
  </w:style>
  <w:style w:type="character" w:customStyle="1" w:styleId="18">
    <w:name w:val="标题 2 字符"/>
    <w:basedOn w:val="10"/>
    <w:link w:val="3"/>
    <w:semiHidden/>
    <w:qFormat/>
    <w:uiPriority w:val="0"/>
    <w:rPr>
      <w:rFonts w:asciiTheme="majorHAnsi" w:hAnsiTheme="majorHAnsi" w:eastAsiaTheme="majorEastAsia" w:cstheme="majorBidi"/>
      <w:b/>
      <w:bCs/>
      <w:sz w:val="32"/>
      <w:szCs w:val="32"/>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北京市考试院</Company>
  <Pages>1</Pages>
  <Words>820</Words>
  <Characters>1048</Characters>
  <Lines>7</Lines>
  <Paragraphs>2</Paragraphs>
  <TotalTime>200</TotalTime>
  <ScaleCrop>false</ScaleCrop>
  <LinksUpToDate>false</LinksUpToDate>
  <CharactersWithSpaces>1087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教育类</cp:category>
  <dcterms:created xsi:type="dcterms:W3CDTF">2013-05-31T13:58:00Z</dcterms:created>
  <dc:creator>NCRE</dc:creator>
  <cp:keywords>北京市,高考,报名</cp:keywords>
  <cp:lastModifiedBy>童童妈</cp:lastModifiedBy>
  <dcterms:modified xsi:type="dcterms:W3CDTF">2022-06-29T12:53:45Z</dcterms:modified>
  <dc:subject>2018年北京市高考报名简介</dc:subject>
  <dc:title>高考信息汇总</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4F98B660898A4BB68E4B370188472D71</vt:lpwstr>
  </property>
</Properties>
</file>